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3AAC88C7" w:rsidR="00F4525C" w:rsidRPr="00870A89" w:rsidRDefault="00450E08" w:rsidP="007C1796">
          <w:pPr>
            <w:pStyle w:val="Title"/>
            <w:jc w:val="center"/>
          </w:pPr>
          <w:r>
            <w:t>Access, Consider, Read, Act</w:t>
          </w:r>
        </w:p>
      </w:sdtContent>
    </w:sdt>
    <w:p w14:paraId="6C6BAFE3" w14:textId="3BAFCAA5" w:rsidR="00450E08" w:rsidRPr="007C1796" w:rsidRDefault="00450E08" w:rsidP="006312E4">
      <w:pPr>
        <w:pStyle w:val="Subtitle"/>
      </w:pPr>
      <w:bookmarkStart w:id="0" w:name="TemplateOverview"/>
      <w:bookmarkEnd w:id="0"/>
      <w:r w:rsidRPr="007C1796">
        <w:t xml:space="preserve">Thinking </w:t>
      </w:r>
      <w:r w:rsidR="00CA3D39">
        <w:t>r</w:t>
      </w:r>
      <w:r w:rsidR="00CA3D39" w:rsidRPr="00CA3D39">
        <w:t>outine</w:t>
      </w:r>
    </w:p>
    <w:p w14:paraId="7A47999D" w14:textId="66A09C9D" w:rsidR="00450E08" w:rsidRPr="00870A89" w:rsidRDefault="00450E08" w:rsidP="00450E08">
      <w:pPr>
        <w:pStyle w:val="BodyText"/>
      </w:pPr>
      <w:r>
        <w:t xml:space="preserve">This thinking routine is designed </w:t>
      </w:r>
      <w:r w:rsidR="00CA3D39">
        <w:t>to help</w:t>
      </w:r>
      <w:r>
        <w:t xml:space="preserve"> teachers and leaders better </w:t>
      </w:r>
      <w:r w:rsidRPr="00AF4C29">
        <w:rPr>
          <w:rStyle w:val="Heading5Char"/>
          <w:sz w:val="20"/>
          <w:szCs w:val="16"/>
        </w:rPr>
        <w:t>plan and implement</w:t>
      </w:r>
      <w:r w:rsidRPr="00AF4C29">
        <w:rPr>
          <w:sz w:val="16"/>
          <w:szCs w:val="18"/>
        </w:rPr>
        <w:t xml:space="preserve"> </w:t>
      </w:r>
      <w:r>
        <w:t xml:space="preserve">the Victorian Curriculum </w:t>
      </w:r>
      <w:r w:rsidR="00CA3D39">
        <w:t xml:space="preserve">F–10 Version </w:t>
      </w:r>
      <w:r>
        <w:t>2.0.</w:t>
      </w:r>
    </w:p>
    <w:tbl>
      <w:tblPr>
        <w:tblStyle w:val="VCAATableClosed"/>
        <w:tblW w:w="984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271"/>
        <w:gridCol w:w="8574"/>
      </w:tblGrid>
      <w:tr w:rsidR="000C58E1" w:rsidRPr="00870A89" w14:paraId="720B38F8" w14:textId="77777777" w:rsidTr="0010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tcW w:w="1271" w:type="dxa"/>
            <w:tcBorders>
              <w:right w:val="single" w:sz="4" w:space="0" w:color="000000" w:themeColor="text1"/>
            </w:tcBorders>
          </w:tcPr>
          <w:p w14:paraId="27DD0982" w14:textId="5205AFB6" w:rsidR="000C58E1" w:rsidRPr="000C58E1" w:rsidRDefault="000C58E1" w:rsidP="000C58E1">
            <w:pPr>
              <w:pStyle w:val="Tablecondensedheading"/>
              <w:rPr>
                <w:lang w:val="en-AU"/>
              </w:rPr>
            </w:pPr>
            <w:r w:rsidRPr="000C58E1">
              <w:rPr>
                <w:lang w:val="en-AU"/>
              </w:rPr>
              <w:t>Access</w:t>
            </w:r>
          </w:p>
        </w:tc>
        <w:tc>
          <w:tcPr>
            <w:tcW w:w="857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5C2823D" w14:textId="2E181090" w:rsidR="000C58E1" w:rsidRPr="00C9696B" w:rsidRDefault="000C58E1" w:rsidP="000C58E1">
            <w:pPr>
              <w:pStyle w:val="Tablecondensedheading"/>
              <w:rPr>
                <w:color w:val="000000" w:themeColor="text1"/>
                <w:lang w:val="en-AU"/>
              </w:rPr>
            </w:pPr>
            <w:r w:rsidRPr="000C58E1">
              <w:rPr>
                <w:b w:val="0"/>
                <w:color w:val="000000" w:themeColor="text1"/>
                <w:lang w:val="en-AU"/>
              </w:rPr>
              <w:t xml:space="preserve">Access the relevant </w:t>
            </w:r>
            <w:r w:rsidR="00CA3D39">
              <w:rPr>
                <w:b w:val="0"/>
                <w:color w:val="000000" w:themeColor="text1"/>
                <w:lang w:val="en-AU"/>
              </w:rPr>
              <w:t xml:space="preserve">VCAA </w:t>
            </w:r>
            <w:r w:rsidRPr="000C58E1">
              <w:rPr>
                <w:b w:val="0"/>
                <w:color w:val="000000" w:themeColor="text1"/>
                <w:lang w:val="en-AU"/>
              </w:rPr>
              <w:t xml:space="preserve">template </w:t>
            </w:r>
            <w:r w:rsidR="00CA3D39">
              <w:rPr>
                <w:b w:val="0"/>
                <w:color w:val="000000" w:themeColor="text1"/>
                <w:lang w:val="en-AU"/>
              </w:rPr>
              <w:t xml:space="preserve">on the </w:t>
            </w:r>
            <w:hyperlink r:id="rId11" w:history="1">
              <w:r w:rsidR="00CA3D39" w:rsidRPr="00CA3D39">
                <w:rPr>
                  <w:rStyle w:val="Hyperlink"/>
                  <w:b w:val="0"/>
                  <w:lang w:val="en-AU"/>
                </w:rPr>
                <w:t>Victorian Curriculum F–10 Version 2.0 website</w:t>
              </w:r>
            </w:hyperlink>
            <w:r w:rsidRPr="000C58E1">
              <w:rPr>
                <w:b w:val="0"/>
                <w:color w:val="000000" w:themeColor="text1"/>
                <w:lang w:val="en-AU"/>
              </w:rPr>
              <w:t xml:space="preserve">. </w:t>
            </w:r>
          </w:p>
        </w:tc>
      </w:tr>
      <w:tr w:rsidR="000C58E1" w:rsidRPr="00870A89" w14:paraId="2708461C" w14:textId="77777777" w:rsidTr="000C58E1">
        <w:trPr>
          <w:trHeight w:val="457"/>
        </w:trPr>
        <w:tc>
          <w:tcPr>
            <w:tcW w:w="1271" w:type="dxa"/>
            <w:shd w:val="clear" w:color="auto" w:fill="0F7EB4"/>
          </w:tcPr>
          <w:p w14:paraId="339587FE" w14:textId="79BC9546" w:rsidR="000C58E1" w:rsidRPr="000C58E1" w:rsidRDefault="000C58E1" w:rsidP="007C1796">
            <w:pPr>
              <w:pStyle w:val="Tablecondensedheading"/>
              <w:rPr>
                <w:b/>
                <w:lang w:val="en-AU"/>
              </w:rPr>
            </w:pPr>
            <w:r w:rsidRPr="000C58E1">
              <w:rPr>
                <w:b/>
                <w:lang w:val="en-AU"/>
              </w:rPr>
              <w:t>Consider</w:t>
            </w:r>
          </w:p>
        </w:tc>
        <w:tc>
          <w:tcPr>
            <w:tcW w:w="8574" w:type="dxa"/>
          </w:tcPr>
          <w:p w14:paraId="3728C704" w14:textId="02AF53E9" w:rsidR="000C58E1" w:rsidRDefault="000C58E1" w:rsidP="000C58E1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Consider your current school</w:t>
            </w:r>
            <w:r w:rsidR="006312E4">
              <w:rPr>
                <w:lang w:val="en-AU"/>
              </w:rPr>
              <w:t xml:space="preserve"> setting</w:t>
            </w:r>
            <w:r>
              <w:rPr>
                <w:lang w:val="en-AU"/>
              </w:rPr>
              <w:t xml:space="preserve">. </w:t>
            </w:r>
          </w:p>
          <w:p w14:paraId="3267ABDC" w14:textId="22ABA8BD" w:rsidR="000C58E1" w:rsidRDefault="000C58E1" w:rsidP="00E0242B">
            <w:pPr>
              <w:pStyle w:val="Tablecondensed"/>
              <w:numPr>
                <w:ilvl w:val="0"/>
                <w:numId w:val="17"/>
              </w:numPr>
              <w:spacing w:afterLines="240" w:after="576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>What does current curriculum and planning implementation look like</w:t>
            </w:r>
            <w:r w:rsidR="00CA3D39">
              <w:rPr>
                <w:lang w:val="en-AU"/>
              </w:rPr>
              <w:t xml:space="preserve"> in your school</w:t>
            </w:r>
            <w:r>
              <w:rPr>
                <w:lang w:val="en-AU"/>
              </w:rPr>
              <w:t>?</w:t>
            </w:r>
          </w:p>
          <w:p w14:paraId="1563FA1C" w14:textId="2C624C17" w:rsidR="000C58E1" w:rsidRDefault="000C58E1" w:rsidP="00E0242B">
            <w:pPr>
              <w:pStyle w:val="Tablecondensed"/>
              <w:numPr>
                <w:ilvl w:val="0"/>
                <w:numId w:val="17"/>
              </w:numPr>
              <w:spacing w:afterLines="240" w:after="576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>What documentation do</w:t>
            </w:r>
            <w:r w:rsidR="00CA3D39">
              <w:rPr>
                <w:lang w:val="en-AU"/>
              </w:rPr>
              <w:t>es your school</w:t>
            </w:r>
            <w:r>
              <w:rPr>
                <w:lang w:val="en-AU"/>
              </w:rPr>
              <w:t xml:space="preserve"> currently have?</w:t>
            </w:r>
          </w:p>
          <w:p w14:paraId="0A8EE588" w14:textId="2375A6DA" w:rsidR="001B1186" w:rsidRPr="007C1796" w:rsidRDefault="001B1186" w:rsidP="00E0242B">
            <w:pPr>
              <w:pStyle w:val="Tablecondensed"/>
              <w:numPr>
                <w:ilvl w:val="0"/>
                <w:numId w:val="17"/>
              </w:numPr>
              <w:spacing w:afterLines="240" w:after="576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>What documentation remains to be developed?</w:t>
            </w:r>
          </w:p>
        </w:tc>
      </w:tr>
      <w:tr w:rsidR="000C58E1" w:rsidRPr="00870A89" w14:paraId="363C45DB" w14:textId="77777777" w:rsidTr="00330128">
        <w:trPr>
          <w:trHeight w:val="523"/>
        </w:trPr>
        <w:tc>
          <w:tcPr>
            <w:tcW w:w="1271" w:type="dxa"/>
            <w:shd w:val="clear" w:color="auto" w:fill="0F7EB4"/>
          </w:tcPr>
          <w:p w14:paraId="6E7EF051" w14:textId="0260FC5B" w:rsidR="000C58E1" w:rsidRPr="000C58E1" w:rsidRDefault="000C58E1" w:rsidP="000C58E1">
            <w:pPr>
              <w:pStyle w:val="Tablecondensedheading"/>
              <w:rPr>
                <w:b/>
                <w:lang w:val="en-AU"/>
              </w:rPr>
            </w:pPr>
            <w:r w:rsidRPr="000C58E1">
              <w:rPr>
                <w:b/>
                <w:lang w:val="en-AU"/>
              </w:rPr>
              <w:t>Read</w:t>
            </w:r>
          </w:p>
        </w:tc>
        <w:tc>
          <w:tcPr>
            <w:tcW w:w="8574" w:type="dxa"/>
          </w:tcPr>
          <w:p w14:paraId="1F756068" w14:textId="68679ED6" w:rsidR="00072BE4" w:rsidRDefault="000C58E1" w:rsidP="000C58E1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Read the instructions provided in the </w:t>
            </w:r>
            <w:r w:rsidR="00CA3D39">
              <w:rPr>
                <w:lang w:val="en-AU"/>
              </w:rPr>
              <w:t xml:space="preserve">VCAA </w:t>
            </w:r>
            <w:r>
              <w:rPr>
                <w:lang w:val="en-AU"/>
              </w:rPr>
              <w:t xml:space="preserve">template. </w:t>
            </w:r>
          </w:p>
          <w:p w14:paraId="231EB06F" w14:textId="5A92AF3E" w:rsidR="00072BE4" w:rsidRDefault="00072BE4" w:rsidP="000C58E1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Determine what documentation you currently have to support the population of this template.</w:t>
            </w:r>
          </w:p>
          <w:p w14:paraId="71BF0897" w14:textId="0F41FC93" w:rsidR="00072BE4" w:rsidRDefault="00072BE4" w:rsidP="000C58E1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Determine what documentation you </w:t>
            </w:r>
            <w:r w:rsidR="00CA3D39">
              <w:rPr>
                <w:lang w:val="en-AU"/>
              </w:rPr>
              <w:t xml:space="preserve">would </w:t>
            </w:r>
            <w:r>
              <w:rPr>
                <w:lang w:val="en-AU"/>
              </w:rPr>
              <w:t>need to support the population of this template.</w:t>
            </w:r>
          </w:p>
          <w:p w14:paraId="16D64C5D" w14:textId="7436EB36" w:rsidR="000C58E1" w:rsidRPr="00870A89" w:rsidRDefault="000C58E1" w:rsidP="000C58E1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 xml:space="preserve">Determine relevant </w:t>
            </w:r>
            <w:r w:rsidR="00072BE4">
              <w:rPr>
                <w:lang w:val="en-AU"/>
              </w:rPr>
              <w:t xml:space="preserve">next </w:t>
            </w:r>
            <w:r>
              <w:rPr>
                <w:lang w:val="en-AU"/>
              </w:rPr>
              <w:t>steps for your school setting.</w:t>
            </w:r>
          </w:p>
        </w:tc>
      </w:tr>
      <w:tr w:rsidR="000C58E1" w:rsidRPr="00870A89" w14:paraId="42E58A56" w14:textId="77777777" w:rsidTr="000C58E1">
        <w:trPr>
          <w:trHeight w:val="877"/>
        </w:trPr>
        <w:tc>
          <w:tcPr>
            <w:tcW w:w="1271" w:type="dxa"/>
            <w:shd w:val="clear" w:color="auto" w:fill="0F7EB4"/>
          </w:tcPr>
          <w:p w14:paraId="368F7727" w14:textId="0DC4A12B" w:rsidR="000C58E1" w:rsidRPr="000C58E1" w:rsidRDefault="000C58E1" w:rsidP="000C58E1">
            <w:pPr>
              <w:pStyle w:val="Tablecondensedheading"/>
              <w:rPr>
                <w:b/>
                <w:lang w:val="en-AU"/>
              </w:rPr>
            </w:pPr>
            <w:r w:rsidRPr="000C58E1">
              <w:rPr>
                <w:b/>
                <w:lang w:val="en-AU"/>
              </w:rPr>
              <w:t>Act</w:t>
            </w:r>
          </w:p>
        </w:tc>
        <w:tc>
          <w:tcPr>
            <w:tcW w:w="8574" w:type="dxa"/>
          </w:tcPr>
          <w:p w14:paraId="71267138" w14:textId="6792D286" w:rsidR="000C58E1" w:rsidRDefault="000C58E1" w:rsidP="000C58E1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lang w:val="en-AU"/>
              </w:rPr>
              <w:t xml:space="preserve">Implement the </w:t>
            </w:r>
            <w:r w:rsidR="00324D18">
              <w:rPr>
                <w:lang w:val="en-AU"/>
              </w:rPr>
              <w:t>first ‘next step’ for</w:t>
            </w:r>
            <w:r>
              <w:rPr>
                <w:lang w:val="en-AU"/>
              </w:rPr>
              <w:t xml:space="preserve"> your setting.</w:t>
            </w:r>
          </w:p>
          <w:p w14:paraId="1390F862" w14:textId="77777777" w:rsidR="001B1186" w:rsidRDefault="001B1186" w:rsidP="000C58E1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lang w:val="en-AU"/>
              </w:rPr>
              <w:t xml:space="preserve">Consider your colleagues. </w:t>
            </w:r>
          </w:p>
          <w:p w14:paraId="1B42641E" w14:textId="43E0C6DF" w:rsidR="00324D18" w:rsidRPr="00E0242B" w:rsidRDefault="00324D18" w:rsidP="007C1796">
            <w:pPr>
              <w:pStyle w:val="Tablecondensedbullet2"/>
              <w:numPr>
                <w:ilvl w:val="0"/>
                <w:numId w:val="18"/>
              </w:numPr>
              <w:spacing w:after="240"/>
              <w:ind w:left="714" w:hanging="357"/>
              <w:rPr>
                <w:lang w:val="en-AU"/>
              </w:rPr>
            </w:pPr>
            <w:r w:rsidRPr="00324D18">
              <w:rPr>
                <w:lang w:val="en-US"/>
              </w:rPr>
              <w:t>What are the best ways to engage your colleagues in this activity?</w:t>
            </w:r>
          </w:p>
          <w:p w14:paraId="361CE906" w14:textId="77777777" w:rsidR="00017B17" w:rsidRPr="00E0242B" w:rsidRDefault="00017B17" w:rsidP="00E0242B">
            <w:pPr>
              <w:pStyle w:val="Tablecondensedbullet2"/>
              <w:numPr>
                <w:ilvl w:val="0"/>
                <w:numId w:val="0"/>
              </w:numPr>
              <w:spacing w:after="240"/>
              <w:ind w:left="714"/>
              <w:rPr>
                <w:lang w:val="en-AU"/>
              </w:rPr>
            </w:pPr>
          </w:p>
          <w:p w14:paraId="76BCC6FF" w14:textId="03B0FB2C" w:rsidR="001B1186" w:rsidRDefault="001B1186" w:rsidP="00017B17">
            <w:pPr>
              <w:pStyle w:val="Tablecondensedbullet2"/>
              <w:numPr>
                <w:ilvl w:val="0"/>
                <w:numId w:val="18"/>
              </w:numPr>
              <w:spacing w:after="240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 xml:space="preserve">Will you need </w:t>
            </w:r>
            <w:r w:rsidR="004F44CE">
              <w:rPr>
                <w:lang w:val="en-AU"/>
              </w:rPr>
              <w:t xml:space="preserve">to offer </w:t>
            </w:r>
            <w:r>
              <w:rPr>
                <w:lang w:val="en-AU"/>
              </w:rPr>
              <w:t>multiple entry points</w:t>
            </w:r>
            <w:r w:rsidR="00350A9B">
              <w:rPr>
                <w:lang w:val="en-AU"/>
              </w:rPr>
              <w:t xml:space="preserve"> for your colleagues</w:t>
            </w:r>
            <w:r>
              <w:rPr>
                <w:lang w:val="en-AU"/>
              </w:rPr>
              <w:t>?</w:t>
            </w:r>
          </w:p>
          <w:p w14:paraId="566F3B5F" w14:textId="77777777" w:rsidR="00017B17" w:rsidRPr="007C1796" w:rsidRDefault="00017B17" w:rsidP="00E0242B">
            <w:pPr>
              <w:pStyle w:val="Tablecondensedbullet2"/>
              <w:numPr>
                <w:ilvl w:val="0"/>
                <w:numId w:val="0"/>
              </w:numPr>
              <w:spacing w:after="240"/>
              <w:rPr>
                <w:lang w:val="en-AU"/>
              </w:rPr>
            </w:pPr>
          </w:p>
          <w:p w14:paraId="61A37B67" w14:textId="4F04480A" w:rsidR="001B1186" w:rsidRDefault="001B1186" w:rsidP="007C1796">
            <w:pPr>
              <w:pStyle w:val="Tablecondensedbullet2"/>
              <w:numPr>
                <w:ilvl w:val="0"/>
                <w:numId w:val="18"/>
              </w:numPr>
              <w:spacing w:after="240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>What strength and expertise within your team</w:t>
            </w:r>
            <w:r w:rsidR="00CA3D39">
              <w:rPr>
                <w:lang w:val="en-AU"/>
              </w:rPr>
              <w:t>(</w:t>
            </w:r>
            <w:r>
              <w:rPr>
                <w:lang w:val="en-AU"/>
              </w:rPr>
              <w:t>s</w:t>
            </w:r>
            <w:r w:rsidR="00CA3D39">
              <w:rPr>
                <w:lang w:val="en-AU"/>
              </w:rPr>
              <w:t>)</w:t>
            </w:r>
            <w:r>
              <w:rPr>
                <w:lang w:val="en-AU"/>
              </w:rPr>
              <w:t xml:space="preserve"> can you draw from?</w:t>
            </w:r>
          </w:p>
          <w:p w14:paraId="4F02E301" w14:textId="77777777" w:rsidR="00017B17" w:rsidRPr="007C1796" w:rsidRDefault="00017B17" w:rsidP="00E0242B">
            <w:pPr>
              <w:pStyle w:val="Tablecondensedbullet2"/>
              <w:numPr>
                <w:ilvl w:val="0"/>
                <w:numId w:val="0"/>
              </w:numPr>
              <w:spacing w:after="240"/>
              <w:rPr>
                <w:lang w:val="en-AU"/>
              </w:rPr>
            </w:pPr>
          </w:p>
          <w:p w14:paraId="3A672C82" w14:textId="621D3869" w:rsidR="001B1186" w:rsidRDefault="001B1186" w:rsidP="007C1796">
            <w:pPr>
              <w:pStyle w:val="Tablecondensedbullet2"/>
              <w:numPr>
                <w:ilvl w:val="0"/>
                <w:numId w:val="18"/>
              </w:numPr>
              <w:spacing w:after="240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 xml:space="preserve">What scaffolding might </w:t>
            </w:r>
            <w:r w:rsidR="00CA3D39">
              <w:rPr>
                <w:lang w:val="en-AU"/>
              </w:rPr>
              <w:t xml:space="preserve">support </w:t>
            </w:r>
            <w:r>
              <w:rPr>
                <w:lang w:val="en-AU"/>
              </w:rPr>
              <w:t>your colleagues?</w:t>
            </w:r>
          </w:p>
          <w:p w14:paraId="795803B6" w14:textId="77777777" w:rsidR="00017B17" w:rsidRPr="007C1796" w:rsidRDefault="00017B17" w:rsidP="00E0242B">
            <w:pPr>
              <w:pStyle w:val="Tablecondensedbullet2"/>
              <w:numPr>
                <w:ilvl w:val="0"/>
                <w:numId w:val="0"/>
              </w:numPr>
              <w:spacing w:after="240"/>
              <w:rPr>
                <w:lang w:val="en-AU"/>
              </w:rPr>
            </w:pPr>
          </w:p>
          <w:p w14:paraId="4752317B" w14:textId="77777777" w:rsidR="001B1186" w:rsidRDefault="001B1186" w:rsidP="007C1796">
            <w:pPr>
              <w:pStyle w:val="Tablecondensedbullet2"/>
              <w:numPr>
                <w:ilvl w:val="0"/>
                <w:numId w:val="18"/>
              </w:numPr>
              <w:spacing w:after="240"/>
              <w:ind w:left="714" w:hanging="357"/>
              <w:rPr>
                <w:lang w:val="en-AU"/>
              </w:rPr>
            </w:pPr>
            <w:r>
              <w:rPr>
                <w:lang w:val="en-AU"/>
              </w:rPr>
              <w:t xml:space="preserve">What will success look like </w:t>
            </w:r>
            <w:r w:rsidR="00CA3D39">
              <w:rPr>
                <w:lang w:val="en-AU"/>
              </w:rPr>
              <w:t>in</w:t>
            </w:r>
            <w:r>
              <w:rPr>
                <w:lang w:val="en-AU"/>
              </w:rPr>
              <w:t xml:space="preserve"> your setting? </w:t>
            </w:r>
          </w:p>
          <w:p w14:paraId="38DAF493" w14:textId="5BC0027D" w:rsidR="00017B17" w:rsidRPr="007C1796" w:rsidRDefault="00017B17" w:rsidP="00E0242B">
            <w:pPr>
              <w:pStyle w:val="Tablecondensedbullet2"/>
              <w:numPr>
                <w:ilvl w:val="0"/>
                <w:numId w:val="0"/>
              </w:numPr>
              <w:spacing w:after="240"/>
              <w:rPr>
                <w:lang w:val="en-AU"/>
              </w:rPr>
            </w:pPr>
          </w:p>
        </w:tc>
      </w:tr>
    </w:tbl>
    <w:p w14:paraId="2B976676" w14:textId="76554201" w:rsidR="002647BB" w:rsidRPr="00870A89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3083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7D97A593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64A7E29" w14:textId="77777777" w:rsidR="00375ECB" w:rsidRDefault="00375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16E5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26CE4BDE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0B8A2EA8" w14:textId="77777777" w:rsidR="00375ECB" w:rsidRDefault="00375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78EFE52" w:rsidR="00FD29D3" w:rsidRPr="002B0664" w:rsidRDefault="00F63E9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0E08">
          <w:rPr>
            <w:color w:val="auto"/>
          </w:rPr>
          <w:t>Access, Consider, Read, Act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03AA7353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1252F5"/>
    <w:multiLevelType w:val="hybridMultilevel"/>
    <w:tmpl w:val="9B769E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 w15:restartNumberingAfterBreak="0">
    <w:nsid w:val="63A16328"/>
    <w:multiLevelType w:val="hybridMultilevel"/>
    <w:tmpl w:val="82E29E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1784"/>
    <w:multiLevelType w:val="hybridMultilevel"/>
    <w:tmpl w:val="C322A0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4004">
    <w:abstractNumId w:val="15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953323806">
    <w:abstractNumId w:val="16"/>
  </w:num>
  <w:num w:numId="17" w16cid:durableId="1350109731">
    <w:abstractNumId w:val="17"/>
  </w:num>
  <w:num w:numId="18" w16cid:durableId="780302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7B17"/>
    <w:rsid w:val="0005780E"/>
    <w:rsid w:val="00065CC6"/>
    <w:rsid w:val="00072BE4"/>
    <w:rsid w:val="000A71F7"/>
    <w:rsid w:val="000B1323"/>
    <w:rsid w:val="000C0DB2"/>
    <w:rsid w:val="000C58E1"/>
    <w:rsid w:val="000F09E4"/>
    <w:rsid w:val="000F16FD"/>
    <w:rsid w:val="000F5AAF"/>
    <w:rsid w:val="00106381"/>
    <w:rsid w:val="00143520"/>
    <w:rsid w:val="00153AD2"/>
    <w:rsid w:val="001779EA"/>
    <w:rsid w:val="001B1186"/>
    <w:rsid w:val="001C0DB3"/>
    <w:rsid w:val="001D3246"/>
    <w:rsid w:val="002279BA"/>
    <w:rsid w:val="002329F3"/>
    <w:rsid w:val="00243F0D"/>
    <w:rsid w:val="00260767"/>
    <w:rsid w:val="002647BB"/>
    <w:rsid w:val="002703EA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24D18"/>
    <w:rsid w:val="00330128"/>
    <w:rsid w:val="003305B9"/>
    <w:rsid w:val="00350A9B"/>
    <w:rsid w:val="0035293F"/>
    <w:rsid w:val="00375ECB"/>
    <w:rsid w:val="00381C75"/>
    <w:rsid w:val="00391986"/>
    <w:rsid w:val="003A00B4"/>
    <w:rsid w:val="003A06B2"/>
    <w:rsid w:val="003A7D2C"/>
    <w:rsid w:val="003C5E71"/>
    <w:rsid w:val="00417AA3"/>
    <w:rsid w:val="00425DFE"/>
    <w:rsid w:val="00434EDB"/>
    <w:rsid w:val="00440B32"/>
    <w:rsid w:val="0044139D"/>
    <w:rsid w:val="00450E08"/>
    <w:rsid w:val="0046078D"/>
    <w:rsid w:val="00495C80"/>
    <w:rsid w:val="004A2ED8"/>
    <w:rsid w:val="004E18AF"/>
    <w:rsid w:val="004F44CE"/>
    <w:rsid w:val="004F5BDA"/>
    <w:rsid w:val="0051631E"/>
    <w:rsid w:val="00537A1F"/>
    <w:rsid w:val="00566029"/>
    <w:rsid w:val="005733B0"/>
    <w:rsid w:val="005923CB"/>
    <w:rsid w:val="005B391B"/>
    <w:rsid w:val="005D3D78"/>
    <w:rsid w:val="005E2EF0"/>
    <w:rsid w:val="005F14B3"/>
    <w:rsid w:val="005F4092"/>
    <w:rsid w:val="006312E4"/>
    <w:rsid w:val="0068471E"/>
    <w:rsid w:val="00684F98"/>
    <w:rsid w:val="00693FFD"/>
    <w:rsid w:val="00694582"/>
    <w:rsid w:val="006D2159"/>
    <w:rsid w:val="006F787C"/>
    <w:rsid w:val="00702636"/>
    <w:rsid w:val="007176D4"/>
    <w:rsid w:val="00724507"/>
    <w:rsid w:val="00773E6C"/>
    <w:rsid w:val="00781FB1"/>
    <w:rsid w:val="00785BC5"/>
    <w:rsid w:val="007B717A"/>
    <w:rsid w:val="007C1796"/>
    <w:rsid w:val="007D1B6D"/>
    <w:rsid w:val="007E19C6"/>
    <w:rsid w:val="007F4A6F"/>
    <w:rsid w:val="00813C37"/>
    <w:rsid w:val="008154B5"/>
    <w:rsid w:val="00823962"/>
    <w:rsid w:val="00850410"/>
    <w:rsid w:val="00852719"/>
    <w:rsid w:val="00860115"/>
    <w:rsid w:val="00870A89"/>
    <w:rsid w:val="0088783C"/>
    <w:rsid w:val="0089146B"/>
    <w:rsid w:val="0089676A"/>
    <w:rsid w:val="008C32CD"/>
    <w:rsid w:val="008C3F4F"/>
    <w:rsid w:val="009370BC"/>
    <w:rsid w:val="00970580"/>
    <w:rsid w:val="0098739B"/>
    <w:rsid w:val="009B61E5"/>
    <w:rsid w:val="009D1E89"/>
    <w:rsid w:val="009E5707"/>
    <w:rsid w:val="00A03D41"/>
    <w:rsid w:val="00A17661"/>
    <w:rsid w:val="00A24B2D"/>
    <w:rsid w:val="00A32D1F"/>
    <w:rsid w:val="00A40966"/>
    <w:rsid w:val="00A921E0"/>
    <w:rsid w:val="00A922F4"/>
    <w:rsid w:val="00AE5526"/>
    <w:rsid w:val="00AF01CA"/>
    <w:rsid w:val="00AF051B"/>
    <w:rsid w:val="00AF4C29"/>
    <w:rsid w:val="00B01578"/>
    <w:rsid w:val="00B0738F"/>
    <w:rsid w:val="00B13D3B"/>
    <w:rsid w:val="00B202E0"/>
    <w:rsid w:val="00B230DB"/>
    <w:rsid w:val="00B26601"/>
    <w:rsid w:val="00B41951"/>
    <w:rsid w:val="00B53229"/>
    <w:rsid w:val="00B62480"/>
    <w:rsid w:val="00B81B70"/>
    <w:rsid w:val="00BA4091"/>
    <w:rsid w:val="00BB3BAB"/>
    <w:rsid w:val="00BD0724"/>
    <w:rsid w:val="00BD2B91"/>
    <w:rsid w:val="00BD6473"/>
    <w:rsid w:val="00BD703A"/>
    <w:rsid w:val="00BE5521"/>
    <w:rsid w:val="00BF6C23"/>
    <w:rsid w:val="00C53263"/>
    <w:rsid w:val="00C70195"/>
    <w:rsid w:val="00C75F1D"/>
    <w:rsid w:val="00C95156"/>
    <w:rsid w:val="00C9696B"/>
    <w:rsid w:val="00CA0DC2"/>
    <w:rsid w:val="00CA3D39"/>
    <w:rsid w:val="00CB3D6B"/>
    <w:rsid w:val="00CB68E8"/>
    <w:rsid w:val="00CC3494"/>
    <w:rsid w:val="00D04F01"/>
    <w:rsid w:val="00D06414"/>
    <w:rsid w:val="00D24E5A"/>
    <w:rsid w:val="00D25A35"/>
    <w:rsid w:val="00D338E4"/>
    <w:rsid w:val="00D429D1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DE7E34"/>
    <w:rsid w:val="00E0242B"/>
    <w:rsid w:val="00E208DF"/>
    <w:rsid w:val="00E23F1D"/>
    <w:rsid w:val="00E30E05"/>
    <w:rsid w:val="00E36361"/>
    <w:rsid w:val="00E55AE9"/>
    <w:rsid w:val="00E7229D"/>
    <w:rsid w:val="00EB0C84"/>
    <w:rsid w:val="00EC5758"/>
    <w:rsid w:val="00ED4D83"/>
    <w:rsid w:val="00F17FDE"/>
    <w:rsid w:val="00F40D53"/>
    <w:rsid w:val="00F4525C"/>
    <w:rsid w:val="00F50607"/>
    <w:rsid w:val="00F50D86"/>
    <w:rsid w:val="00F638CB"/>
    <w:rsid w:val="00F63E9B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Heading1"/>
    <w:next w:val="Normal"/>
    <w:link w:val="SubtitleChar"/>
    <w:uiPriority w:val="11"/>
    <w:semiHidden/>
    <w:qFormat/>
    <w:rsid w:val="00CA3D39"/>
    <w:pPr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D39"/>
    <w:rPr>
      <w:rFonts w:ascii="Arial" w:hAnsi="Arial" w:cs="Arial"/>
      <w:color w:val="0F7EB4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CA3D39"/>
    <w:pPr>
      <w:spacing w:before="480"/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CA3D39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Reference">
    <w:name w:val="Intense Reference"/>
    <w:basedOn w:val="DefaultParagraphFont"/>
    <w:uiPriority w:val="32"/>
    <w:qFormat/>
    <w:rsid w:val="00AF4C29"/>
    <w:rPr>
      <w:b/>
      <w:bCs/>
      <w:smallCaps/>
      <w:color w:val="0099E3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1B1186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5F14B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3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3D3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375E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10.vcaa.vic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64C4A"/>
    <w:rsid w:val="000C0DB2"/>
    <w:rsid w:val="00425F90"/>
    <w:rsid w:val="007E19C6"/>
    <w:rsid w:val="0089146B"/>
    <w:rsid w:val="008C32CD"/>
    <w:rsid w:val="009325D2"/>
    <w:rsid w:val="00B202E0"/>
    <w:rsid w:val="00BE12D3"/>
    <w:rsid w:val="00DE7E34"/>
    <w:rsid w:val="00E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B7DD350B-50D8-4658-9266-522DD7A90F7A}"/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1907e44-c885-4190-82ed-bb8a63b8a28a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Access, Consider, Read, Act</vt:lpstr>
    </vt:vector>
  </TitlesOfParts>
  <Company>Victorian Curriculum and Assessment Authority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Access, Consider, Read, Act</dc:title>
  <dc:creator>Derek Tolan</dc:creator>
  <cp:lastModifiedBy>Rikki Borg</cp:lastModifiedBy>
  <cp:revision>25</cp:revision>
  <cp:lastPrinted>2015-05-15T02:36:00Z</cp:lastPrinted>
  <dcterms:created xsi:type="dcterms:W3CDTF">2025-01-23T00:48:00Z</dcterms:created>
  <dcterms:modified xsi:type="dcterms:W3CDTF">2025-10-15T04:30:00Z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